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347BB" w14:textId="77777777" w:rsidR="00073425" w:rsidRDefault="00073425">
      <w:pPr>
        <w:contextualSpacing w:val="0"/>
        <w:rPr>
          <w:color w:val="222222"/>
          <w:sz w:val="20"/>
          <w:szCs w:val="20"/>
          <w:highlight w:val="white"/>
        </w:rPr>
      </w:pPr>
    </w:p>
    <w:p w14:paraId="1C7396C5" w14:textId="77777777" w:rsidR="00073425" w:rsidRDefault="006D244E">
      <w:pPr>
        <w:contextualSpacing w:val="0"/>
        <w:jc w:val="center"/>
        <w:rPr>
          <w:color w:val="222222"/>
          <w:sz w:val="20"/>
          <w:szCs w:val="20"/>
          <w:highlight w:val="white"/>
        </w:rPr>
      </w:pPr>
      <w:r>
        <w:rPr>
          <w:b/>
          <w:color w:val="222222"/>
          <w:sz w:val="20"/>
          <w:szCs w:val="20"/>
          <w:highlight w:val="white"/>
        </w:rPr>
        <w:t>POLICY PRIORITIES FOR DETROIT NEIGHBORHOODS: A CALL TO ACTION</w:t>
      </w:r>
    </w:p>
    <w:p w14:paraId="196BC222" w14:textId="77777777" w:rsidR="00073425" w:rsidRDefault="00073425">
      <w:pPr>
        <w:contextualSpacing w:val="0"/>
        <w:rPr>
          <w:color w:val="222222"/>
          <w:sz w:val="20"/>
          <w:szCs w:val="20"/>
          <w:highlight w:val="white"/>
        </w:rPr>
      </w:pPr>
    </w:p>
    <w:p w14:paraId="56035F87" w14:textId="77777777" w:rsidR="00073425" w:rsidRDefault="006D244E">
      <w:pPr>
        <w:contextualSpacing w:val="0"/>
        <w:rPr>
          <w:color w:val="222222"/>
          <w:sz w:val="32"/>
          <w:szCs w:val="32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The Stakeholders of BECDD are committed to generating a policy environment that facilitates effective community development in Detroit. Toward that end, we issue a </w:t>
      </w:r>
      <w:r>
        <w:rPr>
          <w:b/>
          <w:color w:val="222222"/>
          <w:sz w:val="20"/>
          <w:szCs w:val="20"/>
          <w:highlight w:val="white"/>
        </w:rPr>
        <w:t xml:space="preserve">Call </w:t>
      </w:r>
      <w:r>
        <w:rPr>
          <w:b/>
          <w:color w:val="222222"/>
          <w:sz w:val="20"/>
          <w:szCs w:val="20"/>
          <w:highlight w:val="white"/>
        </w:rPr>
        <w:t>to</w:t>
      </w:r>
      <w:r>
        <w:rPr>
          <w:b/>
          <w:color w:val="222222"/>
          <w:sz w:val="20"/>
          <w:szCs w:val="20"/>
          <w:highlight w:val="white"/>
        </w:rPr>
        <w:t xml:space="preserve"> Action </w:t>
      </w:r>
      <w:r>
        <w:rPr>
          <w:color w:val="222222"/>
          <w:sz w:val="20"/>
          <w:szCs w:val="20"/>
          <w:highlight w:val="white"/>
        </w:rPr>
        <w:t xml:space="preserve">to </w:t>
      </w:r>
      <w:r>
        <w:rPr>
          <w:b/>
          <w:color w:val="222222"/>
          <w:sz w:val="20"/>
          <w:szCs w:val="20"/>
          <w:highlight w:val="white"/>
        </w:rPr>
        <w:t>improve existing</w:t>
      </w:r>
      <w:r>
        <w:rPr>
          <w:color w:val="222222"/>
          <w:sz w:val="20"/>
          <w:szCs w:val="20"/>
          <w:highlight w:val="white"/>
        </w:rPr>
        <w:t xml:space="preserve"> </w:t>
      </w:r>
      <w:bookmarkStart w:id="0" w:name="_GoBack"/>
      <w:r>
        <w:rPr>
          <w:b/>
          <w:color w:val="222222"/>
          <w:sz w:val="20"/>
          <w:szCs w:val="20"/>
          <w:highlight w:val="white"/>
        </w:rPr>
        <w:t>policy</w:t>
      </w:r>
      <w:r>
        <w:rPr>
          <w:color w:val="222222"/>
          <w:sz w:val="20"/>
          <w:szCs w:val="20"/>
          <w:highlight w:val="white"/>
        </w:rPr>
        <w:t xml:space="preserve"> and </w:t>
      </w:r>
      <w:r>
        <w:rPr>
          <w:b/>
          <w:color w:val="222222"/>
          <w:sz w:val="20"/>
          <w:szCs w:val="20"/>
          <w:highlight w:val="white"/>
        </w:rPr>
        <w:t>create new</w:t>
      </w:r>
      <w:r>
        <w:rPr>
          <w:color w:val="222222"/>
          <w:sz w:val="20"/>
          <w:szCs w:val="20"/>
          <w:highlight w:val="white"/>
        </w:rPr>
        <w:t xml:space="preserve"> </w:t>
      </w:r>
      <w:r>
        <w:rPr>
          <w:b/>
          <w:color w:val="222222"/>
          <w:sz w:val="20"/>
          <w:szCs w:val="20"/>
          <w:highlight w:val="white"/>
        </w:rPr>
        <w:t>policy</w:t>
      </w:r>
      <w:r>
        <w:rPr>
          <w:color w:val="222222"/>
          <w:sz w:val="20"/>
          <w:szCs w:val="20"/>
          <w:highlight w:val="white"/>
        </w:rPr>
        <w:t xml:space="preserve"> at the </w:t>
      </w:r>
      <w:r>
        <w:rPr>
          <w:b/>
          <w:color w:val="222222"/>
          <w:sz w:val="20"/>
          <w:szCs w:val="20"/>
          <w:highlight w:val="white"/>
        </w:rPr>
        <w:t>city and state level,</w:t>
      </w:r>
      <w:r>
        <w:rPr>
          <w:color w:val="222222"/>
          <w:sz w:val="20"/>
          <w:szCs w:val="20"/>
          <w:highlight w:val="white"/>
        </w:rPr>
        <w:t xml:space="preserve"> aimed at Long Term Affordability Strategies for </w:t>
      </w:r>
      <w:bookmarkEnd w:id="0"/>
      <w:r>
        <w:rPr>
          <w:color w:val="222222"/>
          <w:sz w:val="20"/>
          <w:szCs w:val="20"/>
          <w:highlight w:val="white"/>
        </w:rPr>
        <w:t xml:space="preserve">Detroit Neighborhoods.  </w:t>
      </w:r>
      <w:r>
        <w:rPr>
          <w:b/>
          <w:color w:val="222222"/>
          <w:sz w:val="32"/>
          <w:szCs w:val="32"/>
          <w:highlight w:val="white"/>
        </w:rPr>
        <w:t>We Believe….</w:t>
      </w:r>
    </w:p>
    <w:p w14:paraId="5A749B54" w14:textId="77777777" w:rsidR="00073425" w:rsidRDefault="00073425">
      <w:pPr>
        <w:contextualSpacing w:val="0"/>
        <w:rPr>
          <w:color w:val="222222"/>
          <w:sz w:val="32"/>
          <w:szCs w:val="32"/>
          <w:highlight w:val="white"/>
        </w:rPr>
      </w:pPr>
    </w:p>
    <w:p w14:paraId="4677C4D3" w14:textId="77777777" w:rsidR="00073425" w:rsidRDefault="006D244E">
      <w:pPr>
        <w:numPr>
          <w:ilvl w:val="0"/>
          <w:numId w:val="1"/>
        </w:numPr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In the formation of a </w:t>
      </w:r>
      <w:r>
        <w:rPr>
          <w:b/>
          <w:color w:val="222222"/>
          <w:sz w:val="32"/>
          <w:szCs w:val="32"/>
          <w:highlight w:val="white"/>
        </w:rPr>
        <w:t>comprehensive affordability plan</w:t>
      </w:r>
      <w:r>
        <w:rPr>
          <w:color w:val="222222"/>
          <w:sz w:val="32"/>
          <w:szCs w:val="32"/>
          <w:highlight w:val="white"/>
        </w:rPr>
        <w:t xml:space="preserve"> that meets the needs of </w:t>
      </w:r>
      <w:r>
        <w:rPr>
          <w:b/>
          <w:color w:val="222222"/>
          <w:sz w:val="32"/>
          <w:szCs w:val="32"/>
          <w:highlight w:val="white"/>
        </w:rPr>
        <w:t>Detroiters at all income levels</w:t>
      </w:r>
      <w:r>
        <w:rPr>
          <w:color w:val="222222"/>
          <w:sz w:val="32"/>
          <w:szCs w:val="32"/>
          <w:highlight w:val="white"/>
        </w:rPr>
        <w:t xml:space="preserve"> in </w:t>
      </w:r>
      <w:r>
        <w:rPr>
          <w:b/>
          <w:color w:val="222222"/>
          <w:sz w:val="32"/>
          <w:szCs w:val="32"/>
          <w:highlight w:val="white"/>
        </w:rPr>
        <w:t>every Detroit neighborhood</w:t>
      </w:r>
      <w:r>
        <w:rPr>
          <w:color w:val="222222"/>
          <w:sz w:val="32"/>
          <w:szCs w:val="32"/>
          <w:highlight w:val="white"/>
        </w:rPr>
        <w:t>:</w:t>
      </w:r>
    </w:p>
    <w:p w14:paraId="7BC6AE49" w14:textId="77777777" w:rsidR="00073425" w:rsidRDefault="006D244E">
      <w:pPr>
        <w:numPr>
          <w:ilvl w:val="1"/>
          <w:numId w:val="1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Co-created among neighborho</w:t>
      </w:r>
      <w:r>
        <w:rPr>
          <w:color w:val="222222"/>
          <w:sz w:val="20"/>
          <w:szCs w:val="20"/>
          <w:highlight w:val="white"/>
        </w:rPr>
        <w:t>od leaders, community development, Detroit city government and other existing coalitions dedicated to this goal</w:t>
      </w:r>
    </w:p>
    <w:p w14:paraId="10192C58" w14:textId="77777777" w:rsidR="00073425" w:rsidRDefault="006D244E">
      <w:pPr>
        <w:numPr>
          <w:ilvl w:val="1"/>
          <w:numId w:val="1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That includes capacity building for community development organizations to implement the strategies in all neighborhoods</w:t>
      </w:r>
    </w:p>
    <w:p w14:paraId="30C6EF55" w14:textId="77777777" w:rsidR="00073425" w:rsidRDefault="00073425">
      <w:pPr>
        <w:pBdr>
          <w:top w:val="nil"/>
          <w:left w:val="nil"/>
          <w:bottom w:val="nil"/>
          <w:right w:val="nil"/>
          <w:between w:val="nil"/>
        </w:pBdr>
        <w:contextualSpacing w:val="0"/>
        <w:rPr>
          <w:color w:val="222222"/>
          <w:sz w:val="24"/>
          <w:szCs w:val="24"/>
          <w:highlight w:val="white"/>
        </w:rPr>
      </w:pPr>
    </w:p>
    <w:p w14:paraId="5AD84EAB" w14:textId="77777777" w:rsidR="00073425" w:rsidRDefault="006D244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>That affordability res</w:t>
      </w:r>
      <w:r>
        <w:rPr>
          <w:color w:val="222222"/>
          <w:sz w:val="32"/>
          <w:szCs w:val="32"/>
          <w:highlight w:val="white"/>
        </w:rPr>
        <w:t xml:space="preserve">ources must include housing for families with </w:t>
      </w:r>
      <w:r>
        <w:rPr>
          <w:b/>
          <w:color w:val="222222"/>
          <w:sz w:val="32"/>
          <w:szCs w:val="32"/>
          <w:highlight w:val="white"/>
        </w:rPr>
        <w:t>less than 50% of Area Median Income</w:t>
      </w:r>
    </w:p>
    <w:p w14:paraId="374ED834" w14:textId="77777777" w:rsidR="00073425" w:rsidRDefault="00073425">
      <w:pPr>
        <w:ind w:left="720"/>
        <w:contextualSpacing w:val="0"/>
        <w:rPr>
          <w:color w:val="222222"/>
          <w:sz w:val="32"/>
          <w:szCs w:val="32"/>
          <w:highlight w:val="white"/>
        </w:rPr>
      </w:pPr>
    </w:p>
    <w:p w14:paraId="66C913D0" w14:textId="77777777" w:rsidR="00073425" w:rsidRDefault="006D244E">
      <w:pPr>
        <w:numPr>
          <w:ilvl w:val="0"/>
          <w:numId w:val="5"/>
        </w:numPr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In mechanisms to </w:t>
      </w:r>
      <w:r>
        <w:rPr>
          <w:b/>
          <w:color w:val="222222"/>
          <w:sz w:val="32"/>
          <w:szCs w:val="32"/>
          <w:highlight w:val="white"/>
        </w:rPr>
        <w:t>assure permanent affordability</w:t>
      </w:r>
      <w:r>
        <w:rPr>
          <w:color w:val="222222"/>
          <w:sz w:val="32"/>
          <w:szCs w:val="32"/>
          <w:highlight w:val="white"/>
        </w:rPr>
        <w:t xml:space="preserve"> of housing: </w:t>
      </w:r>
    </w:p>
    <w:p w14:paraId="4B09F2FF" w14:textId="77777777" w:rsidR="00073425" w:rsidRDefault="006D244E">
      <w:pPr>
        <w:numPr>
          <w:ilvl w:val="1"/>
          <w:numId w:val="1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Including a set-aside of DLBA housing inventory for this purpose</w:t>
      </w:r>
    </w:p>
    <w:p w14:paraId="57BBF1B5" w14:textId="77777777" w:rsidR="00073425" w:rsidRDefault="006D244E">
      <w:pPr>
        <w:numPr>
          <w:ilvl w:val="1"/>
          <w:numId w:val="1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Including partnerships between DLBA, city gover</w:t>
      </w:r>
      <w:r>
        <w:rPr>
          <w:color w:val="222222"/>
          <w:sz w:val="20"/>
          <w:szCs w:val="20"/>
          <w:highlight w:val="white"/>
        </w:rPr>
        <w:t>nment and community development organizations</w:t>
      </w:r>
    </w:p>
    <w:p w14:paraId="60349B1F" w14:textId="77777777" w:rsidR="00073425" w:rsidRDefault="006D244E">
      <w:pPr>
        <w:numPr>
          <w:ilvl w:val="1"/>
          <w:numId w:val="1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Including affordability of other property, commercial and green space</w:t>
      </w:r>
    </w:p>
    <w:p w14:paraId="5D2FE374" w14:textId="77777777" w:rsidR="00073425" w:rsidRDefault="00073425">
      <w:pPr>
        <w:contextualSpacing w:val="0"/>
        <w:rPr>
          <w:color w:val="222222"/>
          <w:sz w:val="32"/>
          <w:szCs w:val="32"/>
          <w:highlight w:val="white"/>
        </w:rPr>
      </w:pPr>
    </w:p>
    <w:p w14:paraId="1135C843" w14:textId="77777777" w:rsidR="00073425" w:rsidRDefault="006D244E">
      <w:pPr>
        <w:numPr>
          <w:ilvl w:val="0"/>
          <w:numId w:val="2"/>
        </w:numPr>
        <w:ind w:left="360"/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That </w:t>
      </w:r>
      <w:r>
        <w:rPr>
          <w:b/>
          <w:color w:val="222222"/>
          <w:sz w:val="32"/>
          <w:szCs w:val="32"/>
          <w:highlight w:val="white"/>
        </w:rPr>
        <w:t xml:space="preserve">repair and rehab strategies must be prioritized </w:t>
      </w:r>
    </w:p>
    <w:p w14:paraId="57507420" w14:textId="77777777" w:rsidR="00073425" w:rsidRDefault="006D244E">
      <w:pPr>
        <w:numPr>
          <w:ilvl w:val="1"/>
          <w:numId w:val="2"/>
        </w:numPr>
        <w:ind w:left="900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Including support for repair and preservation of homes owned by the elderly</w:t>
      </w:r>
    </w:p>
    <w:p w14:paraId="4483DBE5" w14:textId="77777777" w:rsidR="00073425" w:rsidRDefault="006D244E">
      <w:pPr>
        <w:numPr>
          <w:ilvl w:val="1"/>
          <w:numId w:val="2"/>
        </w:numPr>
        <w:ind w:left="900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Including “bundling” and other creative strategies to increase the supply of affordable homes </w:t>
      </w:r>
    </w:p>
    <w:p w14:paraId="1197CC17" w14:textId="77777777" w:rsidR="00073425" w:rsidRDefault="00073425">
      <w:pPr>
        <w:ind w:left="540"/>
        <w:contextualSpacing w:val="0"/>
        <w:rPr>
          <w:color w:val="222222"/>
          <w:sz w:val="32"/>
          <w:szCs w:val="32"/>
          <w:highlight w:val="white"/>
        </w:rPr>
      </w:pPr>
    </w:p>
    <w:p w14:paraId="077D576A" w14:textId="77777777" w:rsidR="00073425" w:rsidRDefault="006D244E">
      <w:pPr>
        <w:numPr>
          <w:ilvl w:val="0"/>
          <w:numId w:val="2"/>
        </w:numPr>
        <w:ind w:left="360"/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That affordable housing must </w:t>
      </w:r>
      <w:r>
        <w:rPr>
          <w:b/>
          <w:color w:val="222222"/>
          <w:sz w:val="32"/>
          <w:szCs w:val="32"/>
          <w:highlight w:val="white"/>
        </w:rPr>
        <w:t>accommodate families</w:t>
      </w:r>
    </w:p>
    <w:p w14:paraId="6E8F34CD" w14:textId="77777777" w:rsidR="00073425" w:rsidRDefault="00073425">
      <w:pPr>
        <w:ind w:left="540"/>
        <w:contextualSpacing w:val="0"/>
        <w:rPr>
          <w:color w:val="222222"/>
          <w:sz w:val="32"/>
          <w:szCs w:val="32"/>
          <w:highlight w:val="white"/>
        </w:rPr>
      </w:pPr>
    </w:p>
    <w:p w14:paraId="06E99EA0" w14:textId="77777777" w:rsidR="00073425" w:rsidRDefault="006D244E">
      <w:pPr>
        <w:numPr>
          <w:ilvl w:val="0"/>
          <w:numId w:val="2"/>
        </w:numPr>
        <w:ind w:left="360"/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That city, county and state policy and practices must be aimed at </w:t>
      </w:r>
      <w:r>
        <w:rPr>
          <w:b/>
          <w:color w:val="222222"/>
          <w:sz w:val="32"/>
          <w:szCs w:val="32"/>
          <w:highlight w:val="white"/>
        </w:rPr>
        <w:t>eliminating housing loss from property tax foreclosure</w:t>
      </w:r>
    </w:p>
    <w:p w14:paraId="4B77273B" w14:textId="77777777" w:rsidR="00073425" w:rsidRDefault="00073425">
      <w:pPr>
        <w:pBdr>
          <w:top w:val="nil"/>
          <w:left w:val="nil"/>
          <w:bottom w:val="nil"/>
          <w:right w:val="nil"/>
          <w:between w:val="nil"/>
        </w:pBdr>
        <w:ind w:left="540" w:hanging="720"/>
        <w:contextualSpacing w:val="0"/>
        <w:rPr>
          <w:color w:val="222222"/>
          <w:sz w:val="32"/>
          <w:szCs w:val="32"/>
          <w:highlight w:val="white"/>
        </w:rPr>
      </w:pPr>
    </w:p>
    <w:p w14:paraId="3528EABC" w14:textId="77777777" w:rsidR="00073425" w:rsidRDefault="006D244E">
      <w:pPr>
        <w:numPr>
          <w:ilvl w:val="0"/>
          <w:numId w:val="2"/>
        </w:numPr>
        <w:ind w:left="360"/>
        <w:rPr>
          <w:color w:val="222222"/>
          <w:sz w:val="32"/>
          <w:szCs w:val="32"/>
          <w:highlight w:val="white"/>
        </w:rPr>
      </w:pPr>
      <w:r>
        <w:rPr>
          <w:color w:val="222222"/>
          <w:sz w:val="32"/>
          <w:szCs w:val="32"/>
          <w:highlight w:val="white"/>
        </w:rPr>
        <w:t xml:space="preserve">That </w:t>
      </w:r>
      <w:r>
        <w:rPr>
          <w:b/>
          <w:color w:val="222222"/>
          <w:sz w:val="32"/>
          <w:szCs w:val="32"/>
          <w:highlight w:val="white"/>
        </w:rPr>
        <w:t>new state policy should be created to generate an ongoing flow of resources into Detroit</w:t>
      </w:r>
      <w:r>
        <w:rPr>
          <w:color w:val="222222"/>
          <w:sz w:val="32"/>
          <w:szCs w:val="32"/>
          <w:highlight w:val="white"/>
        </w:rPr>
        <w:t xml:space="preserve"> </w:t>
      </w:r>
      <w:r>
        <w:rPr>
          <w:b/>
          <w:color w:val="222222"/>
          <w:sz w:val="32"/>
          <w:szCs w:val="32"/>
          <w:highlight w:val="white"/>
        </w:rPr>
        <w:t>neighborhoods</w:t>
      </w:r>
      <w:r>
        <w:rPr>
          <w:color w:val="222222"/>
          <w:sz w:val="32"/>
          <w:szCs w:val="32"/>
          <w:highlight w:val="white"/>
        </w:rPr>
        <w:t xml:space="preserve"> </w:t>
      </w:r>
    </w:p>
    <w:p w14:paraId="7DC20223" w14:textId="77777777" w:rsidR="00073425" w:rsidRDefault="006D244E">
      <w:pPr>
        <w:numPr>
          <w:ilvl w:val="1"/>
          <w:numId w:val="3"/>
        </w:numPr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>through housing trusts, c</w:t>
      </w:r>
      <w:r>
        <w:rPr>
          <w:color w:val="222222"/>
          <w:sz w:val="20"/>
          <w:szCs w:val="20"/>
          <w:highlight w:val="white"/>
        </w:rPr>
        <w:t>orporate linkage fees and other incentive programs</w:t>
      </w:r>
    </w:p>
    <w:p w14:paraId="16D902BC" w14:textId="77777777" w:rsidR="00073425" w:rsidRDefault="00073425">
      <w:pPr>
        <w:contextualSpacing w:val="0"/>
        <w:rPr>
          <w:color w:val="222222"/>
          <w:sz w:val="32"/>
          <w:szCs w:val="32"/>
          <w:highlight w:val="white"/>
        </w:rPr>
      </w:pPr>
    </w:p>
    <w:p w14:paraId="1E4AB041" w14:textId="77777777" w:rsidR="00073425" w:rsidRDefault="00073425">
      <w:pPr>
        <w:contextualSpacing w:val="0"/>
        <w:rPr>
          <w:color w:val="222222"/>
          <w:sz w:val="32"/>
          <w:szCs w:val="32"/>
          <w:highlight w:val="yellow"/>
        </w:rPr>
      </w:pPr>
    </w:p>
    <w:p w14:paraId="32586BCE" w14:textId="77777777" w:rsidR="00073425" w:rsidRDefault="00073425">
      <w:pPr>
        <w:contextualSpacing w:val="0"/>
        <w:rPr>
          <w:color w:val="222222"/>
          <w:sz w:val="32"/>
          <w:szCs w:val="32"/>
          <w:highlight w:val="yellow"/>
        </w:rPr>
      </w:pPr>
    </w:p>
    <w:p w14:paraId="052C8E8A" w14:textId="77777777" w:rsidR="00073425" w:rsidRDefault="006D244E">
      <w:pPr>
        <w:contextualSpacing w:val="0"/>
        <w:rPr>
          <w:color w:val="222222"/>
          <w:sz w:val="32"/>
          <w:szCs w:val="32"/>
          <w:highlight w:val="yellow"/>
        </w:rPr>
      </w:pPr>
      <w:r>
        <w:rPr>
          <w:b/>
          <w:color w:val="222222"/>
          <w:sz w:val="32"/>
          <w:szCs w:val="32"/>
          <w:highlight w:val="yellow"/>
        </w:rPr>
        <w:t xml:space="preserve"> </w:t>
      </w:r>
    </w:p>
    <w:p w14:paraId="1964E94D" w14:textId="77777777" w:rsidR="00073425" w:rsidRDefault="00073425">
      <w:pPr>
        <w:contextualSpacing w:val="0"/>
        <w:jc w:val="center"/>
        <w:rPr>
          <w:color w:val="222222"/>
          <w:sz w:val="32"/>
          <w:szCs w:val="32"/>
          <w:highlight w:val="yellow"/>
        </w:rPr>
      </w:pPr>
    </w:p>
    <w:p w14:paraId="4F56E60B" w14:textId="77777777" w:rsidR="00073425" w:rsidRDefault="00073425">
      <w:pPr>
        <w:ind w:left="720"/>
        <w:contextualSpacing w:val="0"/>
        <w:rPr>
          <w:color w:val="222222"/>
          <w:sz w:val="32"/>
          <w:szCs w:val="32"/>
          <w:highlight w:val="yellow"/>
        </w:rPr>
      </w:pPr>
    </w:p>
    <w:p w14:paraId="53C4213E" w14:textId="77777777" w:rsidR="00073425" w:rsidRDefault="006D244E">
      <w:pPr>
        <w:contextualSpacing w:val="0"/>
        <w:jc w:val="center"/>
        <w:rPr>
          <w:color w:val="222222"/>
          <w:sz w:val="36"/>
          <w:szCs w:val="36"/>
          <w:highlight w:val="yellow"/>
        </w:rPr>
      </w:pPr>
      <w:r>
        <w:rPr>
          <w:b/>
          <w:color w:val="222222"/>
          <w:sz w:val="36"/>
          <w:szCs w:val="36"/>
          <w:highlight w:val="yellow"/>
        </w:rPr>
        <w:t xml:space="preserve"> </w:t>
      </w:r>
    </w:p>
    <w:p w14:paraId="263C1AEC" w14:textId="77777777" w:rsidR="00073425" w:rsidRDefault="00073425">
      <w:pPr>
        <w:contextualSpacing w:val="0"/>
        <w:jc w:val="center"/>
        <w:rPr>
          <w:color w:val="FF0000"/>
          <w:highlight w:val="yellow"/>
          <w:u w:val="single"/>
        </w:rPr>
      </w:pPr>
    </w:p>
    <w:p w14:paraId="6AE18994" w14:textId="77777777" w:rsidR="00073425" w:rsidRDefault="00073425">
      <w:pPr>
        <w:contextualSpacing w:val="0"/>
        <w:rPr>
          <w:sz w:val="36"/>
          <w:szCs w:val="36"/>
          <w:highlight w:val="white"/>
        </w:rPr>
      </w:pPr>
    </w:p>
    <w:sectPr w:rsidR="00073425" w:rsidSect="00571946">
      <w:headerReference w:type="default" r:id="rId7"/>
      <w:pgSz w:w="12240" w:h="15840"/>
      <w:pgMar w:top="2232" w:right="1440" w:bottom="279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A2935" w14:textId="77777777" w:rsidR="006D244E" w:rsidRDefault="006D244E" w:rsidP="00571946">
      <w:pPr>
        <w:spacing w:line="240" w:lineRule="auto"/>
      </w:pPr>
      <w:r>
        <w:separator/>
      </w:r>
    </w:p>
  </w:endnote>
  <w:endnote w:type="continuationSeparator" w:id="0">
    <w:p w14:paraId="4BE70BA6" w14:textId="77777777" w:rsidR="006D244E" w:rsidRDefault="006D244E" w:rsidP="00571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F577" w14:textId="77777777" w:rsidR="006D244E" w:rsidRDefault="006D244E" w:rsidP="00571946">
      <w:pPr>
        <w:spacing w:line="240" w:lineRule="auto"/>
      </w:pPr>
      <w:r>
        <w:separator/>
      </w:r>
    </w:p>
  </w:footnote>
  <w:footnote w:type="continuationSeparator" w:id="0">
    <w:p w14:paraId="6552E56A" w14:textId="77777777" w:rsidR="006D244E" w:rsidRDefault="006D244E" w:rsidP="00571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DDD0D" w14:textId="2083FE9C" w:rsidR="00571946" w:rsidRDefault="0057194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2CB780C" wp14:editId="6A40F4FA">
          <wp:simplePos x="0" y="0"/>
          <wp:positionH relativeFrom="column">
            <wp:posOffset>-889000</wp:posOffset>
          </wp:positionH>
          <wp:positionV relativeFrom="paragraph">
            <wp:posOffset>0</wp:posOffset>
          </wp:positionV>
          <wp:extent cx="7818120" cy="10122408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mmit_Handout_BG_Art_HeaderFooter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7DEC"/>
    <w:multiLevelType w:val="multilevel"/>
    <w:tmpl w:val="2A381534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  <w:vertAlign w:val="baseline"/>
      </w:rPr>
    </w:lvl>
  </w:abstractNum>
  <w:abstractNum w:abstractNumId="1" w15:restartNumberingAfterBreak="0">
    <w:nsid w:val="23B17980"/>
    <w:multiLevelType w:val="multilevel"/>
    <w:tmpl w:val="0F8A9C12"/>
    <w:lvl w:ilvl="0">
      <w:start w:val="1"/>
      <w:numFmt w:val="bullet"/>
      <w:lvlText w:val="❖"/>
      <w:lvlJc w:val="left"/>
      <w:pPr>
        <w:ind w:left="54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  <w:vertAlign w:val="baseline"/>
      </w:rPr>
    </w:lvl>
  </w:abstractNum>
  <w:abstractNum w:abstractNumId="2" w15:restartNumberingAfterBreak="0">
    <w:nsid w:val="711747A3"/>
    <w:multiLevelType w:val="multilevel"/>
    <w:tmpl w:val="1670137E"/>
    <w:lvl w:ilvl="0">
      <w:start w:val="1"/>
      <w:numFmt w:val="bullet"/>
      <w:lvlText w:val="❖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  <w:vertAlign w:val="baseline"/>
      </w:rPr>
    </w:lvl>
  </w:abstractNum>
  <w:abstractNum w:abstractNumId="3" w15:restartNumberingAfterBreak="0">
    <w:nsid w:val="71ED5D10"/>
    <w:multiLevelType w:val="multilevel"/>
    <w:tmpl w:val="FEDCEA24"/>
    <w:lvl w:ilvl="0">
      <w:start w:val="1"/>
      <w:numFmt w:val="bullet"/>
      <w:lvlText w:val="❖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  <w:vertAlign w:val="baseline"/>
      </w:rPr>
    </w:lvl>
  </w:abstractNum>
  <w:abstractNum w:abstractNumId="4" w15:restartNumberingAfterBreak="0">
    <w:nsid w:val="7A01550E"/>
    <w:multiLevelType w:val="multilevel"/>
    <w:tmpl w:val="99586D50"/>
    <w:lvl w:ilvl="0">
      <w:start w:val="1"/>
      <w:numFmt w:val="bullet"/>
      <w:lvlText w:val="❖"/>
      <w:lvlJc w:val="left"/>
      <w:pPr>
        <w:ind w:left="36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5"/>
    <w:rsid w:val="00073425"/>
    <w:rsid w:val="00184D42"/>
    <w:rsid w:val="00571946"/>
    <w:rsid w:val="006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E990E"/>
  <w15:docId w15:val="{C2AAC81D-1062-1340-937F-55782BA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719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946"/>
  </w:style>
  <w:style w:type="paragraph" w:styleId="Footer">
    <w:name w:val="footer"/>
    <w:basedOn w:val="Normal"/>
    <w:link w:val="FooterChar"/>
    <w:uiPriority w:val="99"/>
    <w:unhideWhenUsed/>
    <w:rsid w:val="005719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Kopietz</cp:lastModifiedBy>
  <cp:revision>2</cp:revision>
  <dcterms:created xsi:type="dcterms:W3CDTF">2018-12-08T04:17:00Z</dcterms:created>
  <dcterms:modified xsi:type="dcterms:W3CDTF">2018-12-08T04:17:00Z</dcterms:modified>
</cp:coreProperties>
</file>